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490F02" w:rsidRDefault="009E08E4" w:rsidP="009E08E4">
      <w:pPr>
        <w:ind w:left="6096"/>
        <w:rPr>
          <w:rFonts w:ascii="Times New Roman" w:eastAsia="MS Mincho" w:hAnsi="Times New Roman"/>
          <w:bCs/>
          <w:color w:val="FFFFFF" w:themeColor="background1"/>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490F02">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2AA2DD26"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DC029A">
        <w:rPr>
          <w:rFonts w:ascii="Times New Roman" w:eastAsia="Times New Roman" w:hAnsi="Times New Roman"/>
          <w:b/>
          <w:bCs/>
          <w:lang w:eastAsia="ru-RU"/>
        </w:rPr>
        <w:t>1</w:t>
      </w:r>
      <w:r w:rsidR="00545756">
        <w:rPr>
          <w:rFonts w:ascii="Times New Roman" w:eastAsia="Times New Roman" w:hAnsi="Times New Roman"/>
          <w:b/>
          <w:bCs/>
          <w:lang w:eastAsia="ru-RU"/>
        </w:rPr>
        <w:t>5</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490F02"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40AF2F97" w:rsidR="002658AB" w:rsidRPr="00CB40D3" w:rsidRDefault="00DE05DF" w:rsidP="00545756">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поставки</w:t>
            </w:r>
            <w:r w:rsidR="00DC029A">
              <w:t xml:space="preserve"> </w:t>
            </w:r>
            <w:r w:rsidR="00DC029A" w:rsidRPr="00DC029A">
              <w:rPr>
                <w:rFonts w:ascii="Times New Roman" w:hAnsi="Times New Roman"/>
                <w:bCs/>
              </w:rPr>
              <w:t xml:space="preserve">автомобиля </w:t>
            </w:r>
            <w:r w:rsidR="00545756" w:rsidRPr="00545756">
              <w:rPr>
                <w:rFonts w:ascii="Times New Roman" w:hAnsi="Times New Roman"/>
                <w:bCs/>
              </w:rPr>
              <w:t>УАЗ СГР                                I   поколения, 2-х местный цельнометаллический грузовой фургон (374195) 2.7 Бензин 5МКП 4×4, ЕВРО-5 Стандарт</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1CA6CFCA" w:rsidR="007B0115" w:rsidRPr="00D2531F" w:rsidRDefault="00CF00AC" w:rsidP="0028154F">
            <w:pPr>
              <w:jc w:val="both"/>
              <w:rPr>
                <w:rFonts w:ascii="Times New Roman" w:hAnsi="Times New Roman"/>
                <w:bCs/>
              </w:rPr>
            </w:pPr>
            <w:r w:rsidRPr="00CF00AC">
              <w:rPr>
                <w:rFonts w:ascii="Times New Roman" w:hAnsi="Times New Roman"/>
                <w:bCs/>
              </w:rPr>
              <w:t xml:space="preserve">1 577 868 (один миллион пятьсот семьдесят семь тысяч восемьсот шестьдесят восемь) руб.  85 коп. без НДС.  </w:t>
            </w:r>
            <w:r>
              <w:rPr>
                <w:rFonts w:ascii="Times New Roman" w:hAnsi="Times New Roman"/>
                <w:bCs/>
              </w:rPr>
              <w:t>(</w:t>
            </w:r>
            <w:r w:rsidRPr="00CF00AC">
              <w:rPr>
                <w:rFonts w:ascii="Times New Roman" w:hAnsi="Times New Roman"/>
                <w:bCs/>
              </w:rPr>
              <w:t>1 925 000</w:t>
            </w:r>
            <w:r>
              <w:t xml:space="preserve"> </w:t>
            </w:r>
            <w:r w:rsidRPr="00CF00AC">
              <w:rPr>
                <w:rFonts w:ascii="Times New Roman" w:hAnsi="Times New Roman"/>
                <w:bCs/>
              </w:rPr>
              <w:t>в том числе НДС 22%</w:t>
            </w:r>
            <w:r>
              <w:rPr>
                <w:rFonts w:ascii="Times New Roman" w:hAnsi="Times New Roman"/>
                <w:bCs/>
              </w:rPr>
              <w:t>)</w:t>
            </w:r>
            <w:r w:rsidRPr="00CF00AC">
              <w:rPr>
                <w:rFonts w:ascii="Times New Roman" w:hAnsi="Times New Roman"/>
                <w:bCs/>
              </w:rPr>
              <w:t>.</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25A5BBF4" w:rsidR="002658AB" w:rsidRPr="00CB40D3" w:rsidRDefault="002658AB" w:rsidP="00670F3D">
            <w:pPr>
              <w:jc w:val="both"/>
              <w:rPr>
                <w:rFonts w:ascii="Times New Roman" w:hAnsi="Times New Roman"/>
                <w:bCs/>
              </w:rPr>
            </w:pPr>
            <w:r w:rsidRPr="00CB40D3">
              <w:rPr>
                <w:rFonts w:ascii="Times New Roman" w:hAnsi="Times New Roman"/>
                <w:bCs/>
              </w:rPr>
              <w:t>Представлены в Таблиц</w:t>
            </w:r>
            <w:r w:rsidR="00670F3D">
              <w:rPr>
                <w:rFonts w:ascii="Times New Roman" w:hAnsi="Times New Roman"/>
                <w:bCs/>
              </w:rPr>
              <w:t>ах</w:t>
            </w:r>
            <w:r w:rsidRPr="00CB40D3">
              <w:rPr>
                <w:rFonts w:ascii="Times New Roman" w:hAnsi="Times New Roman"/>
                <w:bCs/>
              </w:rPr>
              <w:t xml:space="preserve"> №1</w:t>
            </w:r>
            <w:r w:rsidR="00670F3D">
              <w:rPr>
                <w:rFonts w:ascii="Times New Roman" w:hAnsi="Times New Roman"/>
                <w:bCs/>
              </w:rPr>
              <w:t>,2</w:t>
            </w:r>
            <w:r w:rsidRPr="00CB40D3">
              <w:rPr>
                <w:rFonts w:ascii="Times New Roman" w:hAnsi="Times New Roman"/>
                <w:bCs/>
              </w:rPr>
              <w:t xml:space="preserve">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293503FE" w:rsidR="002658AB" w:rsidRPr="00CB40D3" w:rsidRDefault="001E7D19" w:rsidP="009303DD">
            <w:pPr>
              <w:jc w:val="both"/>
              <w:rPr>
                <w:rFonts w:ascii="Times New Roman" w:eastAsia="Times New Roman" w:hAnsi="Times New Roman"/>
              </w:rPr>
            </w:pPr>
            <w:r>
              <w:rPr>
                <w:rFonts w:ascii="Times New Roman" w:hAnsi="Times New Roman"/>
              </w:rPr>
              <w:t xml:space="preserve">г. Хабаровск, </w:t>
            </w:r>
            <w:r w:rsidR="009303DD">
              <w:rPr>
                <w:rFonts w:ascii="Times New Roman" w:hAnsi="Times New Roman"/>
              </w:rPr>
              <w:t>пер. Промышленный, д. 1</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592D2EF7" w14:textId="13534B46" w:rsidR="002658AB" w:rsidRPr="00CB40D3" w:rsidRDefault="00B96D44" w:rsidP="00670F3D">
            <w:pPr>
              <w:jc w:val="both"/>
              <w:rPr>
                <w:rFonts w:ascii="Times New Roman" w:hAnsi="Times New Roman"/>
              </w:rPr>
            </w:pPr>
            <w:r w:rsidRPr="00CD4AF0">
              <w:rPr>
                <w:rFonts w:ascii="Times New Roman" w:hAnsi="Times New Roman"/>
                <w:bCs/>
              </w:rPr>
              <w:t xml:space="preserve">с </w:t>
            </w:r>
            <w:r w:rsidRPr="00B96D44">
              <w:rPr>
                <w:rFonts w:ascii="Times New Roman" w:hAnsi="Times New Roman"/>
                <w:bCs/>
              </w:rPr>
              <w:t xml:space="preserve">момента подписания Договора </w:t>
            </w:r>
            <w:r w:rsidR="00670F3D" w:rsidRPr="00670F3D">
              <w:rPr>
                <w:rFonts w:ascii="Times New Roman" w:hAnsi="Times New Roman"/>
                <w:bCs/>
              </w:rPr>
              <w:t>не позднее 31.08.2026 г.</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5DA485DF" w:rsidR="00BC1D2D" w:rsidRPr="009179D8" w:rsidRDefault="00DE05DF" w:rsidP="00DC38A2">
            <w:pPr>
              <w:jc w:val="both"/>
              <w:rPr>
                <w:rFonts w:ascii="Times New Roman" w:hAnsi="Times New Roman"/>
                <w:b/>
              </w:rPr>
            </w:pPr>
            <w:r w:rsidRPr="009179D8">
              <w:rPr>
                <w:rFonts w:ascii="Times New Roman" w:hAnsi="Times New Roman"/>
                <w:bCs/>
              </w:rPr>
              <w:t>«</w:t>
            </w:r>
            <w:r w:rsidR="00DC38A2">
              <w:rPr>
                <w:rFonts w:ascii="Times New Roman" w:hAnsi="Times New Roman"/>
                <w:bCs/>
              </w:rPr>
              <w:t>13</w:t>
            </w:r>
            <w:r w:rsidR="00D70436">
              <w:rPr>
                <w:rFonts w:ascii="Times New Roman" w:hAnsi="Times New Roman"/>
                <w:bCs/>
              </w:rPr>
              <w:t>»</w:t>
            </w:r>
            <w:r w:rsidRPr="009179D8">
              <w:rPr>
                <w:rFonts w:ascii="Times New Roman" w:hAnsi="Times New Roman"/>
                <w:bCs/>
              </w:rPr>
              <w:t xml:space="preserve"> </w:t>
            </w:r>
            <w:r w:rsidR="00670F3D">
              <w:rPr>
                <w:rFonts w:ascii="Times New Roman" w:hAnsi="Times New Roman"/>
                <w:bCs/>
              </w:rPr>
              <w:t xml:space="preserve">апреля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32CBCF5E" w:rsidR="000F7B53" w:rsidRPr="009179D8" w:rsidRDefault="00DC38A2" w:rsidP="00670F3D">
            <w:pPr>
              <w:jc w:val="both"/>
              <w:rPr>
                <w:rFonts w:ascii="Times New Roman" w:hAnsi="Times New Roman"/>
              </w:rPr>
            </w:pPr>
            <w:r w:rsidRPr="00DC38A2">
              <w:rPr>
                <w:rFonts w:ascii="Times New Roman" w:hAnsi="Times New Roman"/>
                <w:b/>
              </w:rPr>
              <w:t>78 893</w:t>
            </w:r>
            <w:r>
              <w:rPr>
                <w:rFonts w:ascii="Times New Roman" w:hAnsi="Times New Roman"/>
              </w:rPr>
              <w:t xml:space="preserve">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14F809C0"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670F3D">
              <w:rPr>
                <w:rFonts w:ascii="Times New Roman" w:hAnsi="Times New Roman"/>
                <w:bCs/>
                <w:u w:val="single"/>
              </w:rPr>
              <w:t>0</w:t>
            </w:r>
            <w:r w:rsidR="00DC38A2">
              <w:rPr>
                <w:rFonts w:ascii="Times New Roman" w:hAnsi="Times New Roman"/>
                <w:bCs/>
                <w:u w:val="single"/>
              </w:rPr>
              <w:t>6</w:t>
            </w:r>
            <w:r w:rsidR="00DE05DF" w:rsidRPr="009179D8">
              <w:rPr>
                <w:rFonts w:ascii="Times New Roman" w:hAnsi="Times New Roman"/>
                <w:bCs/>
                <w:u w:val="single"/>
              </w:rPr>
              <w:t xml:space="preserve">» </w:t>
            </w:r>
            <w:r w:rsidR="00543307">
              <w:rPr>
                <w:rFonts w:ascii="Times New Roman" w:hAnsi="Times New Roman"/>
                <w:bCs/>
                <w:u w:val="single"/>
              </w:rPr>
              <w:t>ма</w:t>
            </w:r>
            <w:r w:rsidR="00670F3D">
              <w:rPr>
                <w:rFonts w:ascii="Times New Roman" w:hAnsi="Times New Roman"/>
                <w:bCs/>
                <w:u w:val="single"/>
              </w:rPr>
              <w:t>я</w:t>
            </w:r>
            <w:r w:rsidR="00543307">
              <w:rPr>
                <w:rFonts w:ascii="Times New Roman" w:hAnsi="Times New Roman"/>
                <w:bCs/>
                <w:u w:val="single"/>
              </w:rPr>
              <w:t xml:space="preserve">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7182BA92"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670F3D">
              <w:rPr>
                <w:rFonts w:ascii="Times New Roman" w:hAnsi="Times New Roman"/>
                <w:bCs/>
                <w:u w:val="single"/>
              </w:rPr>
              <w:t>0</w:t>
            </w:r>
            <w:r w:rsidR="00DC38A2">
              <w:rPr>
                <w:rFonts w:ascii="Times New Roman" w:hAnsi="Times New Roman"/>
                <w:bCs/>
                <w:u w:val="single"/>
              </w:rPr>
              <w:t>6</w:t>
            </w:r>
            <w:r w:rsidR="00DE05DF" w:rsidRPr="009179D8">
              <w:rPr>
                <w:rFonts w:ascii="Times New Roman" w:hAnsi="Times New Roman"/>
                <w:bCs/>
                <w:u w:val="single"/>
              </w:rPr>
              <w:t xml:space="preserve">» </w:t>
            </w:r>
            <w:r w:rsidR="00543307">
              <w:rPr>
                <w:rFonts w:ascii="Times New Roman" w:hAnsi="Times New Roman"/>
                <w:bCs/>
                <w:u w:val="single"/>
              </w:rPr>
              <w:t>ма</w:t>
            </w:r>
            <w:r w:rsidR="00670F3D">
              <w:rPr>
                <w:rFonts w:ascii="Times New Roman" w:hAnsi="Times New Roman"/>
                <w:bCs/>
                <w:u w:val="single"/>
              </w:rPr>
              <w:t>я</w:t>
            </w:r>
            <w:r w:rsidR="00543307">
              <w:rPr>
                <w:rFonts w:ascii="Times New Roman" w:hAnsi="Times New Roman"/>
                <w:bCs/>
                <w:u w:val="single"/>
              </w:rPr>
              <w:t xml:space="preserve">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0B0A1B46"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670F3D">
              <w:rPr>
                <w:rFonts w:ascii="Times New Roman" w:eastAsia="Times New Roman" w:hAnsi="Times New Roman"/>
                <w:bCs/>
                <w:u w:val="single"/>
              </w:rPr>
              <w:t>1</w:t>
            </w:r>
            <w:r w:rsidR="00DC38A2">
              <w:rPr>
                <w:rFonts w:ascii="Times New Roman" w:eastAsia="Times New Roman" w:hAnsi="Times New Roman"/>
                <w:bCs/>
                <w:u w:val="single"/>
              </w:rPr>
              <w:t>4</w:t>
            </w:r>
            <w:r w:rsidRPr="009179D8">
              <w:rPr>
                <w:rFonts w:ascii="Times New Roman" w:eastAsia="Times New Roman" w:hAnsi="Times New Roman"/>
                <w:bCs/>
                <w:u w:val="single"/>
              </w:rPr>
              <w:t xml:space="preserve">» </w:t>
            </w:r>
            <w:r w:rsidR="00543307">
              <w:rPr>
                <w:rFonts w:ascii="Times New Roman" w:eastAsia="Times New Roman" w:hAnsi="Times New Roman"/>
                <w:bCs/>
                <w:u w:val="single"/>
              </w:rPr>
              <w:t>ма</w:t>
            </w:r>
            <w:r w:rsidR="00670F3D">
              <w:rPr>
                <w:rFonts w:ascii="Times New Roman" w:eastAsia="Times New Roman" w:hAnsi="Times New Roman"/>
                <w:bCs/>
                <w:u w:val="single"/>
              </w:rPr>
              <w:t>я</w:t>
            </w:r>
            <w:r w:rsidR="00543307">
              <w:rPr>
                <w:rFonts w:ascii="Times New Roman" w:eastAsia="Times New Roman" w:hAnsi="Times New Roman"/>
                <w:bCs/>
                <w:u w:val="single"/>
              </w:rPr>
              <w:t xml:space="preserve">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2AE4CA15"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670F3D">
              <w:rPr>
                <w:rFonts w:ascii="Times New Roman" w:hAnsi="Times New Roman"/>
                <w:bCs/>
                <w:color w:val="000000"/>
                <w:u w:val="single"/>
              </w:rPr>
              <w:t>1</w:t>
            </w:r>
            <w:r w:rsidR="00DC38A2">
              <w:rPr>
                <w:rFonts w:ascii="Times New Roman" w:hAnsi="Times New Roman"/>
                <w:bCs/>
                <w:color w:val="000000"/>
                <w:u w:val="single"/>
              </w:rPr>
              <w:t>8</w:t>
            </w:r>
            <w:r w:rsidRPr="009179D8">
              <w:rPr>
                <w:rFonts w:ascii="Times New Roman" w:hAnsi="Times New Roman"/>
                <w:bCs/>
                <w:color w:val="000000"/>
                <w:u w:val="single"/>
              </w:rPr>
              <w:t xml:space="preserve">» </w:t>
            </w:r>
            <w:r w:rsidR="00670F3D">
              <w:rPr>
                <w:rFonts w:ascii="Times New Roman" w:hAnsi="Times New Roman"/>
                <w:bCs/>
                <w:color w:val="000000"/>
                <w:u w:val="single"/>
              </w:rPr>
              <w:t>мая</w:t>
            </w:r>
            <w:r w:rsidR="001722C2">
              <w:rPr>
                <w:rFonts w:ascii="Times New Roman" w:hAnsi="Times New Roman"/>
                <w:bCs/>
                <w:color w:val="000000"/>
                <w:u w:val="single"/>
              </w:rPr>
              <w:t xml:space="preserve">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490F02"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490F02">
        <w:rPr>
          <w:rFonts w:ascii="Times New Roman" w:hAnsi="Times New Roman"/>
          <w:color w:val="FFFFFF" w:themeColor="background1"/>
        </w:rPr>
        <w:t>СОГЛАСОВАНО:</w:t>
      </w:r>
    </w:p>
    <w:p w14:paraId="2029624A" w14:textId="77777777" w:rsidR="00ED5005" w:rsidRPr="00490F02"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490F02" w:rsidRDefault="00A02458" w:rsidP="00ED5005">
      <w:pPr>
        <w:widowControl w:val="0"/>
        <w:autoSpaceDE w:val="0"/>
        <w:autoSpaceDN w:val="0"/>
        <w:adjustRightInd w:val="0"/>
        <w:jc w:val="both"/>
        <w:rPr>
          <w:rFonts w:ascii="Times New Roman" w:hAnsi="Times New Roman"/>
          <w:color w:val="FFFFFF" w:themeColor="background1"/>
        </w:rPr>
      </w:pPr>
      <w:r w:rsidRPr="00490F02">
        <w:rPr>
          <w:rFonts w:ascii="Times New Roman" w:hAnsi="Times New Roman"/>
          <w:color w:val="FFFFFF" w:themeColor="background1"/>
        </w:rPr>
        <w:t>П</w:t>
      </w:r>
      <w:r w:rsidR="00ED5005" w:rsidRPr="00490F02">
        <w:rPr>
          <w:rFonts w:ascii="Times New Roman" w:hAnsi="Times New Roman"/>
          <w:color w:val="FFFFFF" w:themeColor="background1"/>
        </w:rPr>
        <w:t>редседател</w:t>
      </w:r>
      <w:r w:rsidRPr="00490F02">
        <w:rPr>
          <w:rFonts w:ascii="Times New Roman" w:hAnsi="Times New Roman"/>
          <w:color w:val="FFFFFF" w:themeColor="background1"/>
        </w:rPr>
        <w:t>ь</w:t>
      </w:r>
    </w:p>
    <w:p w14:paraId="3EB3746B" w14:textId="4B3471BA" w:rsidR="00B51FF8" w:rsidRPr="00490F02" w:rsidRDefault="00ED5005" w:rsidP="00CB40D3">
      <w:pPr>
        <w:widowControl w:val="0"/>
        <w:autoSpaceDE w:val="0"/>
        <w:autoSpaceDN w:val="0"/>
        <w:adjustRightInd w:val="0"/>
        <w:jc w:val="both"/>
        <w:rPr>
          <w:rFonts w:ascii="Times New Roman" w:hAnsi="Times New Roman"/>
          <w:color w:val="FFFFFF" w:themeColor="background1"/>
        </w:rPr>
      </w:pPr>
      <w:r w:rsidRPr="00490F02">
        <w:rPr>
          <w:rFonts w:ascii="Times New Roman" w:hAnsi="Times New Roman"/>
          <w:color w:val="FFFFFF" w:themeColor="background1"/>
        </w:rPr>
        <w:t xml:space="preserve">Экспертной группы                                                                            </w:t>
      </w:r>
      <w:r w:rsidR="00CB40D3" w:rsidRPr="00490F02">
        <w:rPr>
          <w:rFonts w:ascii="Times New Roman" w:hAnsi="Times New Roman"/>
          <w:color w:val="FFFFFF" w:themeColor="background1"/>
        </w:rPr>
        <w:t xml:space="preserve">             </w:t>
      </w:r>
      <w:r w:rsidRPr="00490F02">
        <w:rPr>
          <w:rFonts w:ascii="Times New Roman" w:hAnsi="Times New Roman"/>
          <w:color w:val="FFFFFF" w:themeColor="background1"/>
        </w:rPr>
        <w:t xml:space="preserve">                 </w:t>
      </w:r>
      <w:r w:rsidR="00A02458" w:rsidRPr="00490F02">
        <w:rPr>
          <w:rFonts w:ascii="Times New Roman" w:hAnsi="Times New Roman"/>
          <w:color w:val="FFFFFF" w:themeColor="background1"/>
        </w:rPr>
        <w:t>О</w:t>
      </w:r>
      <w:r w:rsidR="005279A9" w:rsidRPr="00490F02">
        <w:rPr>
          <w:rFonts w:ascii="Times New Roman" w:hAnsi="Times New Roman"/>
          <w:color w:val="FFFFFF" w:themeColor="background1"/>
        </w:rPr>
        <w:t xml:space="preserve">.Н. </w:t>
      </w:r>
      <w:r w:rsidR="00A02458" w:rsidRPr="00490F02">
        <w:rPr>
          <w:rFonts w:ascii="Times New Roman" w:hAnsi="Times New Roman"/>
          <w:color w:val="FFFFFF" w:themeColor="background1"/>
        </w:rPr>
        <w:t>Рубцова</w:t>
      </w:r>
      <w:bookmarkEnd w:id="0"/>
    </w:p>
    <w:sectPr w:rsidR="00B51FF8" w:rsidRPr="00490F02"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defaultTabStop w:val="708"/>
  <w:characterSpacingControl w:val="doNotCompress"/>
  <w:hdrShapeDefaults>
    <o:shapedefaults v:ext="edit" spidmax="8601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1506"/>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22C2"/>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154F"/>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3A23"/>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0F02"/>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45756"/>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0F3D"/>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03DD"/>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0AC"/>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43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029A"/>
    <w:rsid w:val="00DC1B52"/>
    <w:rsid w:val="00DC1CF8"/>
    <w:rsid w:val="00DC38A2"/>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69914-6658-4EBD-9758-17B97F0F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604</Words>
  <Characters>3446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75</cp:revision>
  <cp:lastPrinted>2024-08-15T23:30:00Z</cp:lastPrinted>
  <dcterms:created xsi:type="dcterms:W3CDTF">2023-09-22T02:47:00Z</dcterms:created>
  <dcterms:modified xsi:type="dcterms:W3CDTF">2026-04-13T05:42:00Z</dcterms:modified>
</cp:coreProperties>
</file>